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DejaVu Math TeX Gyre" w:hAnsi="DejaVu Math TeX Gyre" w:cs="JosefinSlab-Regular"/>
          <w:color w:val="70AD47" w:themeColor="accent6"/>
          <w:sz w:val="40"/>
          <w:szCs w:val="40"/>
        </w:rPr>
      </w:pPr>
      <w:r>
        <w:rPr>
          <w:rFonts w:cs="JosefinSlab-Regular" w:ascii="DejaVu Math TeX Gyre" w:hAnsi="DejaVu Math TeX Gyre"/>
          <w:color w:val="70AD47" w:themeColor="accent6"/>
          <w:sz w:val="40"/>
          <w:szCs w:val="40"/>
        </w:rPr>
        <w:t>KORONAVIRUS - JAK TO ZVLÁDNOUT?</w:t>
      </w:r>
    </w:p>
    <w:p>
      <w:pPr>
        <w:pStyle w:val="Normal"/>
        <w:spacing w:lineRule="auto" w:line="240" w:before="0" w:after="0"/>
        <w:rPr>
          <w:rFonts w:ascii="DejaVu Math TeX Gyre" w:hAnsi="DejaVu Math TeX Gyre" w:eastAsia="Yu Gothic UI Semibold" w:cs="Malgun Gothic Semilight"/>
          <w:color w:val="70AD47" w:themeColor="accent6"/>
          <w:sz w:val="24"/>
          <w:szCs w:val="24"/>
        </w:rPr>
      </w:pPr>
      <w:r>
        <w:rPr>
          <w:rFonts w:eastAsia="Yu Gothic UI Semibold" w:cs="Malgun Gothic Semilight" w:ascii="DejaVu Math TeX Gyre" w:hAnsi="DejaVu Math TeX Gyre"/>
          <w:color w:val="70AD47" w:themeColor="accent6"/>
          <w:sz w:val="24"/>
          <w:szCs w:val="24"/>
        </w:rPr>
        <w:t>Jak se z toho nezbláznit</w:t>
      </w:r>
    </w:p>
    <w:p>
      <w:pPr>
        <w:pStyle w:val="Normal"/>
        <w:spacing w:lineRule="auto" w:line="240" w:before="0" w:after="0"/>
        <w:rPr>
          <w:rFonts w:ascii="JosefinSlab-Regular" w:hAnsi="JosefinSlab-Regular" w:cs="JosefinSlab-Regular"/>
          <w:color w:val="FFFFFF"/>
          <w:sz w:val="24"/>
          <w:szCs w:val="24"/>
        </w:rPr>
      </w:pPr>
      <w:r>
        <w:rPr>
          <w:rFonts w:cs="JosefinSlab-Regular" w:ascii="DejaVu Math TeX Gyre" w:hAnsi="DejaVu Math TeX Gyre"/>
          <w:color w:val="70AD47" w:themeColor="accent6"/>
          <w:sz w:val="24"/>
          <w:szCs w:val="24"/>
        </w:rPr>
        <w:t>Jak o tom mluvit s dětmi</w:t>
      </w:r>
    </w:p>
    <w:p>
      <w:pPr>
        <w:pStyle w:val="Normal"/>
        <w:spacing w:lineRule="auto" w:line="240" w:before="0" w:after="0"/>
        <w:rPr>
          <w:rFonts w:ascii="DejaVu Math TeX Gyre" w:hAnsi="DejaVu Math TeX Gyre" w:eastAsia="Yu Gothic UI Semibold" w:cs="Malgun Gothic Semilight"/>
          <w:color w:val="70AD47" w:themeColor="accent6"/>
          <w:sz w:val="24"/>
          <w:szCs w:val="24"/>
        </w:rPr>
      </w:pPr>
      <w:r>
        <w:rPr>
          <w:rFonts w:eastAsia="Yu Gothic UI Semibold" w:cs="Malgun Gothic Semilight" w:ascii="DejaVu Math TeX Gyre" w:hAnsi="DejaVu Math TeX Gyre"/>
          <w:color w:val="70AD47" w:themeColor="accent6"/>
          <w:sz w:val="24"/>
          <w:szCs w:val="24"/>
        </w:rPr>
        <w:t>Kam se mohu obrátit, když budu potřebovat</w:t>
      </w:r>
    </w:p>
    <w:p>
      <w:pPr>
        <w:pStyle w:val="Normal"/>
        <w:spacing w:lineRule="auto" w:line="240" w:before="0" w:after="0"/>
        <w:rPr>
          <w:rFonts w:ascii="DejaVu Math TeX Gyre" w:hAnsi="DejaVu Math TeX Gyre" w:eastAsia="Yu Gothic UI Semibold" w:cs="Malgun Gothic Semilight"/>
          <w:b/>
          <w:b/>
          <w:color w:val="70AD47" w:themeColor="accent6"/>
          <w:sz w:val="28"/>
          <w:szCs w:val="28"/>
        </w:rPr>
      </w:pPr>
      <w:r>
        <w:rPr>
          <w:rFonts w:eastAsia="Yu Gothic UI Semibold" w:cs="Malgun Gothic Semilight" w:ascii="DejaVu Math TeX Gyre" w:hAnsi="DejaVu Math TeX Gyre"/>
          <w:b/>
          <w:color w:val="70AD47" w:themeColor="accent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DejaVu Math TeX Gyre" w:hAnsi="DejaVu Math TeX Gyre" w:eastAsia="Yu Gothic UI Semibold" w:cs="Malgun Gothic Semilight"/>
          <w:b/>
          <w:b/>
          <w:color w:val="70AD47" w:themeColor="accent6"/>
          <w:sz w:val="28"/>
          <w:szCs w:val="28"/>
        </w:rPr>
      </w:pPr>
      <w:r>
        <w:rPr>
          <w:rFonts w:eastAsia="Yu Gothic UI Semibold" w:cs="Malgun Gothic Semilight" w:ascii="DejaVu Math TeX Gyre" w:hAnsi="DejaVu Math TeX Gyre"/>
          <w:b/>
          <w:color w:val="70AD47" w:themeColor="accent6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8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8"/>
          <w:szCs w:val="28"/>
          <w:lang w:eastAsia="cs-CZ"/>
        </w:rPr>
        <w:t>PSYCHOHYGIENA NEJEN PRO RODIČE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70AD47" w:themeColor="accent6"/>
          <w:sz w:val="28"/>
          <w:szCs w:val="28"/>
        </w:rPr>
      </w:pPr>
      <w:r>
        <w:rPr>
          <w:rFonts w:cs="Times New Roman" w:ascii="Times New Roman" w:hAnsi="Times New Roman"/>
          <w:b/>
          <w:color w:val="70AD47" w:themeColor="accent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760720" cy="4689475"/>
            <wp:effectExtent l="0" t="0" r="0" b="0"/>
            <wp:docPr id="1" name="Obrázek 1" descr="C:\Users\Lucie\Desktop\Co dě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Lucie\Desktop\Co děl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DejaVu Math TeX Gyre" w:hAnsi="DejaVu Math TeX Gyre" w:eastAsia="Times New Roman" w:cs="Times New Roman"/>
          <w:b/>
          <w:b/>
          <w:bCs/>
          <w:color w:val="8496B0" w:themeColor="text2" w:themeTint="99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8496B0" w:themeColor="text2" w:themeTint="99"/>
          <w:lang w:eastAsia="cs-CZ"/>
        </w:rPr>
        <w:t>Zpracovali psychologové z psychoterapieA, publikováno na jejich fb stránkách</w:t>
      </w:r>
    </w:p>
    <w:p>
      <w:pPr>
        <w:pStyle w:val="Normal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6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6"/>
          <w:szCs w:val="28"/>
          <w:lang w:eastAsia="cs-CZ"/>
        </w:rPr>
      </w:r>
      <w:r>
        <w:br w:type="page"/>
      </w:r>
    </w:p>
    <w:p>
      <w:pPr>
        <w:pStyle w:val="Normal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6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8"/>
          <w:szCs w:val="28"/>
          <w:lang w:eastAsia="cs-CZ"/>
        </w:rPr>
        <w:t xml:space="preserve">JAK O KORONAVIRU MLUVIT S DĚTMI? 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8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8"/>
          <w:szCs w:val="28"/>
          <w:lang w:eastAsia="cs-CZ"/>
        </w:rPr>
        <w:t xml:space="preserve">CO DĚLAT DOMA S DĚTMI?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8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8"/>
          <w:szCs w:val="28"/>
          <w:lang w:eastAsia="cs-CZ"/>
        </w:rPr>
        <w:t>CO POMÁHÁ? </w:t>
      </w:r>
    </w:p>
    <w:p>
      <w:pPr>
        <w:pStyle w:val="Normal"/>
        <w:spacing w:lineRule="auto" w:line="240" w:beforeAutospacing="1" w:afterAutospacing="1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 xml:space="preserve">Stručně: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Nejdříve si sami rozmyslete, co chcete dítěti sdělit (můžete využít materiály uvedené níže).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Podpořte pocit bezpečí, buďte emoční oporou.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Zjistěte, co dítě ví a jaké používá zdroje informací.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Identifikujte obavy dítěte.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Vysvětlujte a komunikujte s dítětem. Přiměřeně informujte o základních faktech a možnostech ochrany.</w:t>
      </w:r>
      <w:r>
        <w:rPr>
          <w:rFonts w:eastAsia="Times New Roman" w:cs="Times New Roman" w:ascii="DejaVu Math TeX Gyre" w:hAnsi="DejaVu Math TeX Gyre"/>
          <w:color w:val="538135" w:themeColor="accent6" w:themeShade="bf"/>
          <w:sz w:val="24"/>
          <w:lang w:eastAsia="cs-CZ"/>
        </w:rPr>
        <w:t xml:space="preserve"> </w:t>
      </w: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 xml:space="preserve">Limitujte mediální zátěž.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Vytvořte si plán.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Zaměřte se na aktivitu.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Udržujte sociální kontakty s druhými.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Nezapomínejte na tělesný pohyb.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DejaVu Math TeX Gyre" w:hAnsi="DejaVu Math TeX Gyre" w:eastAsia="Times New Roman" w:cs="Times New Roman"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sz w:val="24"/>
          <w:lang w:eastAsia="cs-CZ"/>
        </w:rPr>
        <w:t>Buďte dětem v odpovědném chování sami příkladem. Naučte je omezovat šíření bakterií.</w:t>
      </w:r>
    </w:p>
    <w:p>
      <w:pPr>
        <w:pStyle w:val="Normal"/>
        <w:spacing w:lineRule="auto" w:line="240" w:beforeAutospacing="1" w:afterAutospacing="1"/>
        <w:rPr>
          <w:rFonts w:ascii="DejaVu Math TeX Gyre" w:hAnsi="DejaVu Math TeX Gyre" w:eastAsia="Times New Roman" w:cs="Times New Roman"/>
          <w:color w:val="8496B0" w:themeColor="text2" w:themeTint="99"/>
          <w:lang w:eastAsia="cs-CZ"/>
        </w:rPr>
      </w:pPr>
      <w:r>
        <w:rPr>
          <w:rFonts w:eastAsia="Times New Roman" w:cs="Times New Roman" w:ascii="DejaVu Math TeX Gyre" w:hAnsi="DejaVu Math TeX Gyre"/>
          <w:color w:val="8496B0" w:themeColor="text2" w:themeTint="99"/>
          <w:lang w:eastAsia="cs-CZ"/>
        </w:rPr>
        <w:t>Upraveno dle PhDr. Štěpán Vymětal, Ph.D.</w:t>
        <w:br/>
        <w:t>Psychologické pracoviště OBP MV Č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DejaVu Math TeX Gyre" w:hAnsi="DejaVu Math TeX Gyre"/>
          <w:color w:val="8496B0" w:themeColor="text2" w:themeTint="99"/>
          <w:lang w:eastAsia="cs-CZ"/>
        </w:rPr>
        <w:t xml:space="preserve">Podrobně zde: </w:t>
      </w:r>
      <w:hyperlink r:id="rId3">
        <w:r>
          <w:rPr>
            <w:rStyle w:val="Internetovodkaz"/>
            <w:rFonts w:eastAsia="Times New Roman" w:cs="Times New Roman" w:ascii="DejaVu Math TeX Gyre" w:hAnsi="DejaVu Math TeX Gyre"/>
            <w:color w:val="8496B0" w:themeColor="text2" w:themeTint="99"/>
            <w:lang w:eastAsia="cs-CZ"/>
          </w:rPr>
          <w:t>https://www.mvcr.cz/clanek/koronavirus-covid-19-doporuceni-ve-vztahu-k-detem.aspx</w:t>
        </w:r>
      </w:hyperlink>
    </w:p>
    <w:p>
      <w:pPr>
        <w:pStyle w:val="Normal"/>
        <w:spacing w:lineRule="auto" w:line="240" w:beforeAutospacing="1" w:afterAutospacing="1"/>
        <w:rPr>
          <w:rFonts w:ascii="DejaVu Math TeX Gyre" w:hAnsi="DejaVu Math TeX Gyre" w:eastAsia="Times New Roman" w:cs="Times New Roman"/>
          <w:color w:val="538135" w:themeColor="accent6" w:themeShade="bf"/>
          <w:lang w:eastAsia="cs-CZ"/>
        </w:rPr>
      </w:pPr>
      <w:r>
        <w:rPr>
          <w:rFonts w:eastAsia="Times New Roman" w:cs="Times New Roman" w:ascii="DejaVu Math TeX Gyre" w:hAnsi="DejaVu Math TeX Gyre"/>
          <w:color w:val="538135" w:themeColor="accent6" w:themeShade="bf"/>
          <w:lang w:eastAsia="cs-CZ"/>
        </w:rPr>
      </w:r>
    </w:p>
    <w:p>
      <w:pPr>
        <w:pStyle w:val="Normal"/>
        <w:spacing w:lineRule="auto" w:line="240" w:beforeAutospacing="1" w:afterAutospacing="1"/>
        <w:rPr>
          <w:rFonts w:ascii="DejaVu Math TeX Gyre" w:hAnsi="DejaVu Math TeX Gyre" w:eastAsia="Times New Roman" w:cs="Times New Roman"/>
          <w:b/>
          <w:b/>
          <w:color w:val="538135" w:themeColor="accent6" w:themeShade="bf"/>
          <w:sz w:val="24"/>
          <w:lang w:eastAsia="cs-CZ"/>
        </w:rPr>
      </w:pPr>
      <w:r>
        <w:rPr>
          <w:rFonts w:eastAsia="Times New Roman" w:cs="Times New Roman" w:ascii="DejaVu Math TeX Gyre" w:hAnsi="DejaVu Math TeX Gyre"/>
          <w:b/>
          <w:color w:val="538135" w:themeColor="accent6" w:themeShade="bf"/>
          <w:sz w:val="24"/>
          <w:lang w:eastAsia="cs-CZ"/>
        </w:rPr>
        <w:t>K rozhovoru s mladšími dětmi doporučujeme využít např. Ilustrovanou brožurkou MVČR Ahoj, já jsem Korona!</w:t>
      </w:r>
    </w:p>
    <w:p>
      <w:pPr>
        <w:pStyle w:val="Normal"/>
        <w:spacing w:lineRule="auto" w:line="240" w:before="0" w:afterAutospacing="1"/>
        <w:rPr/>
      </w:pPr>
      <w:hyperlink r:id="rId4">
        <w:r>
          <w:rPr>
            <w:rStyle w:val="Internetovodkaz"/>
            <w:rFonts w:eastAsia="Times New Roman" w:cs="Times New Roman" w:ascii="DejaVu Math TeX Gyre" w:hAnsi="DejaVu Math TeX Gyre"/>
            <w:color w:val="8496B0" w:themeColor="text2" w:themeTint="99"/>
            <w:sz w:val="24"/>
            <w:szCs w:val="20"/>
            <w:lang w:eastAsia="cs-CZ"/>
          </w:rPr>
          <w:t>https://www.mvcr.cz/clanek/jak-mluvit-s-detmi-o-koronaviru-nabizime-reseni.aspx</w:t>
        </w:r>
      </w:hyperlink>
    </w:p>
    <w:p>
      <w:pPr>
        <w:pStyle w:val="Normal"/>
        <w:rPr>
          <w:rStyle w:val="Internetovodkaz"/>
          <w:rFonts w:ascii="DejaVu Math TeX Gyre" w:hAnsi="DejaVu Math TeX Gyre" w:eastAsia="Times New Roman" w:cs="Times New Roman"/>
          <w:color w:val="8496B0" w:themeColor="text2" w:themeTint="99"/>
          <w:sz w:val="24"/>
          <w:szCs w:val="20"/>
          <w:lang w:eastAsia="cs-CZ"/>
        </w:rPr>
      </w:pPr>
      <w:r>
        <w:rPr>
          <w:rFonts w:eastAsia="Times New Roman" w:cs="Times New Roman" w:ascii="DejaVu Math TeX Gyre" w:hAnsi="DejaVu Math TeX Gyre"/>
          <w:color w:val="8496B0" w:themeColor="text2" w:themeTint="99"/>
          <w:sz w:val="24"/>
          <w:szCs w:val="20"/>
          <w:lang w:eastAsia="cs-CZ"/>
        </w:rPr>
      </w:r>
      <w:r>
        <w:br w:type="page"/>
      </w:r>
    </w:p>
    <w:p>
      <w:pPr>
        <w:pStyle w:val="Normal"/>
        <w:spacing w:lineRule="auto" w:line="240" w:before="0" w:afterAutospacing="1"/>
        <w:rPr>
          <w:sz w:val="20"/>
        </w:rPr>
      </w:pPr>
      <w:r>
        <w:rPr>
          <w:rFonts w:eastAsia="Times New Roman" w:cs="Times New Roman" w:ascii="DejaVu Math TeX Gyre" w:hAnsi="DejaVu Math TeX Gyre"/>
          <w:b/>
          <w:color w:val="538135" w:themeColor="accent6" w:themeShade="bf"/>
          <w:sz w:val="24"/>
          <w:lang w:eastAsia="cs-CZ"/>
        </w:rPr>
        <w:t xml:space="preserve">Materiál Centra Locika zpřehledňuje, jak se u dětí projevuje strach, obavy a úzkost a jak na ně reagovat. </w:t>
      </w:r>
      <w:r>
        <w:rPr>
          <w:rFonts w:eastAsia="Times New Roman" w:cs="Times New Roman" w:ascii="DejaVu Math TeX Gyre" w:hAnsi="DejaVu Math TeX Gyre"/>
          <w:color w:val="8496B0" w:themeColor="text2" w:themeTint="99"/>
          <w:lang w:eastAsia="cs-CZ"/>
        </w:rPr>
        <w:t xml:space="preserve">(zpracováno psycholožkami Centra Locika na podkladě </w:t>
      </w:r>
      <w:r>
        <w:rPr>
          <w:rFonts w:eastAsia="Times New Roman" w:cs="Times New Roman" w:ascii="DejaVu Math TeX Gyre" w:hAnsi="DejaVu Math TeX Gyre"/>
          <w:color w:val="8496B0" w:themeColor="text2" w:themeTint="99"/>
          <w:u w:val="single"/>
          <w:lang w:eastAsia="cs-CZ"/>
        </w:rPr>
        <w:t>https://www.nctsn.org/sites/default/files/resources/fact-sheet/outbreak_factsheet_1.pdf</w:t>
      </w:r>
      <w:r>
        <w:rPr>
          <w:rFonts w:eastAsia="Times New Roman" w:cs="Times New Roman" w:ascii="DejaVu Math TeX Gyre" w:hAnsi="DejaVu Math TeX Gyre"/>
          <w:color w:val="8496B0" w:themeColor="text2" w:themeTint="99"/>
          <w:lang w:eastAsia="cs-CZ"/>
        </w:rPr>
        <w:t>)</w:t>
      </w:r>
    </w:p>
    <w:p>
      <w:pPr>
        <w:pStyle w:val="Normal"/>
        <w:spacing w:lineRule="auto" w:line="240" w:beforeAutospacing="1" w:afterAutospacing="1"/>
        <w:rPr>
          <w:rFonts w:ascii="DejaVu Math TeX Gyre" w:hAnsi="DejaVu Math TeX Gyre" w:eastAsia="Times New Roman" w:cs="Times New Roman"/>
          <w:b/>
          <w:b/>
          <w:color w:val="538135" w:themeColor="accent6" w:themeShade="bf"/>
          <w:sz w:val="24"/>
          <w:lang w:eastAsia="cs-CZ"/>
        </w:rPr>
      </w:pPr>
      <w:r>
        <w:rPr/>
        <w:drawing>
          <wp:inline distT="0" distB="6350" distL="0" distR="0">
            <wp:extent cx="5760085" cy="7747000"/>
            <wp:effectExtent l="0" t="0" r="0" b="0"/>
            <wp:docPr id="2" name="Obrázek 5" descr="http://centrumlocika.cz/assets/user/letak%20uzkost%20u%20deti%20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http://centrumlocika.cz/assets/user/letak%20uzkost%20u%20deti%20koronavir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2264" r="0" b="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DejaVu Math TeX Gyre" w:hAnsi="DejaVu Math TeX Gyre" w:cs="Times New Roman"/>
          <w:b/>
          <w:b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8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8"/>
          <w:szCs w:val="28"/>
          <w:lang w:eastAsia="cs-CZ"/>
        </w:rPr>
        <w:t>UČENÍ</w:t>
      </w:r>
    </w:p>
    <w:p>
      <w:pPr>
        <w:pStyle w:val="Normal"/>
        <w:spacing w:lineRule="auto" w:line="240" w:before="0" w:after="0"/>
        <w:rPr>
          <w:rFonts w:ascii="DejaVu Math TeX Gyre" w:hAnsi="DejaVu Math TeX Gyre" w:eastAsia="Times New Roman" w:cs="Times New Roman"/>
          <w:color w:val="538135" w:themeColor="accent6" w:themeShade="bf"/>
          <w:lang w:eastAsia="cs-CZ"/>
        </w:rPr>
      </w:pPr>
      <w:r>
        <w:rPr>
          <w:rFonts w:eastAsia="Times New Roman" w:cs="Times New Roman" w:ascii="DejaVu Math TeX Gyre" w:hAnsi="DejaVu Math TeX Gyre"/>
          <w:color w:val="538135" w:themeColor="accent6" w:themeShade="bf"/>
          <w:lang w:eastAsia="cs-CZ"/>
        </w:rPr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  <w:r>
        <w:rPr>
          <w:rFonts w:cs="Times New Roman" w:ascii="DejaVu Math TeX Gyre" w:hAnsi="DejaVu Math TeX Gyre"/>
          <w:color w:val="767171" w:themeColor="background2" w:themeShade="80"/>
          <w:sz w:val="24"/>
          <w:szCs w:val="24"/>
        </w:rPr>
        <w:t xml:space="preserve">Přestože má většina dětí zadané úkoly a práci z jednotlivých předmětů od učitelů, liší se míra ochoty, s jakou děti k zadaným úkolům přistupují. Rovněž možnosti podpory pedagogů jsou různé. </w:t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  <w:r>
        <w:rPr>
          <w:rFonts w:cs="Times New Roman" w:ascii="DejaVu Math TeX Gyre" w:hAnsi="DejaVu Math TeX Gyre"/>
          <w:color w:val="767171" w:themeColor="background2" w:themeShade="80"/>
          <w:sz w:val="24"/>
          <w:szCs w:val="24"/>
        </w:rPr>
        <w:t xml:space="preserve">Pojďme jim pomoci. Jsme v tom společně. </w:t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  <w:r>
        <w:rPr>
          <w:rFonts w:cs="Times New Roman" w:ascii="DejaVu Math TeX Gyre" w:hAnsi="DejaVu Math TeX Gyre"/>
          <w:color w:val="767171" w:themeColor="background2" w:themeShade="8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b/>
          <w:b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Co mohu dělat, pokud si jako rodič nevím s výukou rady?</w:t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Vznikají 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výuková videa,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 vysvětlující novou látku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, i možnosti, jak s dětmi látku procvičovat on line,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mnoho nakladatelství a společností 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zdarma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zpřístupnilo své 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učebnice a výukové interaktivní programy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. 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eastAsia="Times New Roman" w:cs="Times New Roman"/>
          <w:color w:val="538135" w:themeColor="accent6" w:themeShade="bf"/>
          <w:sz w:val="24"/>
          <w:szCs w:val="24"/>
          <w:lang w:eastAsia="cs-CZ"/>
        </w:rPr>
      </w:pPr>
      <w:r>
        <w:rPr>
          <w:rFonts w:eastAsia="Times New Roman" w:cs="Times New Roman" w:ascii="DejaVu Math TeX Gyre" w:hAnsi="DejaVu Math TeX Gyre"/>
          <w:color w:val="538135" w:themeColor="accent6" w:themeShade="bf"/>
          <w:sz w:val="24"/>
          <w:szCs w:val="24"/>
          <w:lang w:eastAsia="cs-CZ"/>
        </w:rPr>
        <w:t>Jejich přehled a konkrétní odkazy naleznete:</w:t>
      </w:r>
    </w:p>
    <w:p>
      <w:pPr>
        <w:pStyle w:val="ListParagraph"/>
        <w:spacing w:lineRule="auto" w:line="240" w:before="0" w:after="0"/>
        <w:contextualSpacing/>
        <w:rPr/>
      </w:pPr>
      <w:hyperlink r:id="rId6">
        <w:r>
          <w:rPr>
            <w:rStyle w:val="ListLabel11"/>
            <w:rFonts w:eastAsia="Times New Roman" w:cs="Times New Roman" w:ascii="DejaVu Math TeX Gyre" w:hAnsi="DejaVu Math TeX Gyre"/>
            <w:color w:val="767171" w:themeColor="background2" w:themeShade="80"/>
            <w:sz w:val="24"/>
            <w:szCs w:val="24"/>
            <w:u w:val="single"/>
            <w:lang w:eastAsia="cs-CZ"/>
          </w:rPr>
          <w:t>https://prevenceppp5.webnode.cz/news/typy-pro-vyuku/</w:t>
        </w:r>
      </w:hyperlink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  <w:r>
        <w:rPr>
          <w:rFonts w:cs="Times New Roman" w:ascii="DejaVu Math TeX Gyre" w:hAnsi="DejaVu Math TeX Gyre"/>
          <w:color w:val="767171" w:themeColor="background2" w:themeShade="8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Internetová 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výuka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v malých skupinách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 svépomocí rodičů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 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prostřednictvím Skype, WhatsApp a dalších on line aplikací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Oslovte rodiče spolužáků, kterým důvěřujete, v on line výuce se střídejte.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Utvořte komunitu, podporujte se navzájem!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Internetová 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výuka a volnočasové aktivity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v malých skupinách</w:t>
      </w: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 prostřednictvím on-line vzdělávání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(placené služby, případně dobrovolníci) </w:t>
      </w:r>
    </w:p>
    <w:p>
      <w:pPr>
        <w:pStyle w:val="ListParagraph"/>
        <w:spacing w:lineRule="auto" w:line="240" w:before="0" w:after="0"/>
        <w:contextualSpacing/>
        <w:rPr/>
      </w:pPr>
      <w:hyperlink r:id="rId7">
        <w:r>
          <w:rPr>
            <w:rStyle w:val="ListLabel11"/>
            <w:rFonts w:eastAsia="Times New Roman" w:cs="Times New Roman" w:ascii="DejaVu Math TeX Gyre" w:hAnsi="DejaVu Math TeX Gyre"/>
            <w:color w:val="767171" w:themeColor="background2" w:themeShade="80"/>
            <w:sz w:val="24"/>
            <w:szCs w:val="24"/>
            <w:u w:val="single"/>
            <w:lang w:eastAsia="cs-CZ"/>
          </w:rPr>
          <w:t>https://prevenceppp5.webnode.cz/news/typy-pro-vyuku/</w:t>
        </w:r>
      </w:hyperlink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Podpořte sociální vazby dětí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(najděte přes Skype a další kamarády dětí, děti jsou schopny si hrát společně, ač každé samo v pokoji, i děti jsou izolované, jejich pohyb na internetu však monitorujte, podporujte pouze důvěryhodné kontakty)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Společně strávený čas se pokuste proměnit v příležitost</w:t>
      </w:r>
    </w:p>
    <w:p>
      <w:pPr>
        <w:pStyle w:val="ListParagraph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b/>
          <w:b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Doporučení, jak zvládat domácí učení (převzato z doporučení DYScentra):</w:t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JISTOTY V NEJISTOTĚ.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 Obecně platí, že ocitneme-li se v neznámé a náročné situaci, čím více nalezneme momentů, které jsou stálé a nemění se, tím lépe. Zkusme si stanovit přesný čas samostudia, používejme pomůcky, studijní materiály, které známe, u kterých víme, jak s nimi pracovat.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MÉNĚ JE OPRAVDU VÍCE.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Jestli je učení mnoho a nevíme, čím začít, vybírejme nejprve takové úkoly, u nichž jsme si jisti, že je zvládneme. I když uděláme jen něco, je to lepší než nic! Ale vždy bychom měli dodržet zásadu, že dojdeme k nějakému logickému závěru (úkol nebo jeho část dokončíme).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 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>KDYŽ SE NÁM DO UČENÍ NECHCE.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 xml:space="preserve"> Vyberme si úkol, který dobře známe, který se nám už někdy v minulosti podařil (nebo něco podobného). Když budeme vědět, že práci zvládneme, snáze se namotivujeme do ní pustit. Teprve postupně a po částech přidávejme další úlohy.</w:t>
      </w:r>
    </w:p>
    <w:p>
      <w:pPr>
        <w:pStyle w:val="ListParagraph"/>
        <w:spacing w:lineRule="auto" w:line="240" w:before="0" w:after="0"/>
        <w:contextualSpacing/>
        <w:rPr>
          <w:rFonts w:ascii="DejaVu Math TeX Gyre" w:hAnsi="DejaVu Math TeX Gyre" w:cs="Times New Roman"/>
          <w:b/>
          <w:b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 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b/>
          <w:color w:val="538135" w:themeColor="accent6" w:themeShade="bf"/>
          <w:sz w:val="24"/>
          <w:szCs w:val="24"/>
        </w:rPr>
        <w:t xml:space="preserve">A HLAVNĚ </w:t>
      </w: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  <w:t>– když nestihneme vše, není to tragédie. Zdraví je přednější a zbytečný stres ho může jen oslabit. Děti sice potřebují zachovat studijní návyky, ale učení má být zábava, ne každodenní zlo.</w:t>
      </w:r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cs="Times New Roman" w:ascii="DejaVu Math TeX Gyre" w:hAnsi="DejaVu Math TeX Gyre"/>
          <w:color w:val="538135" w:themeColor="accent6" w:themeShade="bf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Inspiraci pro usnadnění můžete najít na </w:t>
      </w:r>
      <w:hyperlink r:id="rId8" w:tgtFrame="_blank">
        <w:r>
          <w:rPr>
            <w:rStyle w:val="Internetovodkaz"/>
            <w:rFonts w:cs="Times New Roman" w:ascii="DejaVu Math TeX Gyre" w:hAnsi="DejaVu Math TeX Gyre"/>
            <w:color w:val="538135" w:themeColor="accent6" w:themeShade="bf"/>
            <w:sz w:val="24"/>
            <w:szCs w:val="24"/>
          </w:rPr>
          <w:t>http://www.spoludoma.cz/</w:t>
        </w:r>
      </w:hyperlink>
    </w:p>
    <w:p>
      <w:pPr>
        <w:pStyle w:val="Normal"/>
        <w:spacing w:lineRule="auto" w:line="240" w:before="0" w:after="0"/>
        <w:rPr>
          <w:rFonts w:ascii="DejaVu Math TeX Gyre" w:hAnsi="DejaVu Math TeX Gyre" w:cs="Times New Roman"/>
          <w:color w:val="2E74B5" w:themeColor="accent1" w:themeShade="bf"/>
          <w:sz w:val="24"/>
          <w:szCs w:val="24"/>
        </w:rPr>
      </w:pPr>
      <w:r>
        <w:rPr>
          <w:rFonts w:cs="Times New Roman" w:ascii="DejaVu Math TeX Gyre" w:hAnsi="DejaVu Math TeX Gyre"/>
          <w:color w:val="2E74B5" w:themeColor="accent1" w:themeShade="b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DejaVu Math TeX Gyre" w:hAnsi="DejaVu Math TeX Gyre" w:eastAsia="Times New Roman" w:cs="Times New Roman"/>
          <w:color w:val="767171" w:themeColor="background2" w:themeShade="80"/>
          <w:sz w:val="24"/>
          <w:szCs w:val="24"/>
          <w:lang w:eastAsia="cs-CZ"/>
        </w:rPr>
      </w:pPr>
      <w:r>
        <w:rPr>
          <w:rFonts w:cs="Times New Roman" w:ascii="DejaVu Math TeX Gyre" w:hAnsi="DejaVu Math TeX Gyre"/>
          <w:b/>
          <w:color w:val="767171" w:themeColor="background2" w:themeShade="80"/>
          <w:sz w:val="24"/>
          <w:szCs w:val="24"/>
        </w:rPr>
        <w:t>Přesto můžete mít pocit, že nic nefunguje.</w:t>
      </w:r>
      <w:r>
        <w:rPr>
          <w:rFonts w:cs="Times New Roman" w:ascii="DejaVu Math TeX Gyre" w:hAnsi="DejaVu Math TeX Gyre"/>
          <w:color w:val="767171" w:themeColor="background2" w:themeShade="80"/>
          <w:sz w:val="24"/>
          <w:szCs w:val="24"/>
        </w:rPr>
        <w:t xml:space="preserve"> </w:t>
      </w:r>
      <w:r>
        <w:rPr>
          <w:rFonts w:eastAsia="Times New Roman" w:cs="Times New Roman" w:ascii="DejaVu Math TeX Gyre" w:hAnsi="DejaVu Math TeX Gyre"/>
          <w:color w:val="767171" w:themeColor="background2" w:themeShade="80"/>
          <w:sz w:val="24"/>
          <w:szCs w:val="24"/>
          <w:lang w:eastAsia="cs-CZ"/>
        </w:rPr>
        <w:t xml:space="preserve">Stres ze snahy učit své dítě může vést k hádkám, nevoli. </w:t>
      </w:r>
      <w:r>
        <w:rPr>
          <w:rFonts w:eastAsia="Times New Roman" w:cs="Times New Roman" w:ascii="DejaVu Math TeX Gyre" w:hAnsi="DejaVu Math TeX Gyre"/>
          <w:b/>
          <w:color w:val="767171" w:themeColor="background2" w:themeShade="80"/>
          <w:sz w:val="24"/>
          <w:szCs w:val="24"/>
          <w:lang w:eastAsia="cs-CZ"/>
        </w:rPr>
        <w:t xml:space="preserve">Nejste na to však sami! </w:t>
      </w:r>
      <w:r>
        <w:rPr>
          <w:rFonts w:eastAsia="Times New Roman" w:cs="Times New Roman" w:ascii="DejaVu Math TeX Gyre" w:hAnsi="DejaVu Math TeX Gyre"/>
          <w:color w:val="767171" w:themeColor="background2" w:themeShade="80"/>
          <w:sz w:val="24"/>
          <w:szCs w:val="24"/>
          <w:lang w:eastAsia="cs-CZ"/>
        </w:rPr>
        <w:t>Využije možnost konzultace a podpory, případně rady, jak společné učení i trávení celých dní v jednom bytě zvládnout.</w:t>
      </w:r>
    </w:p>
    <w:p>
      <w:pPr>
        <w:pStyle w:val="Normal"/>
        <w:spacing w:lineRule="auto" w:line="240" w:before="0" w:after="0"/>
        <w:rPr>
          <w:rFonts w:ascii="DejaVu Math TeX Gyre" w:hAnsi="DejaVu Math TeX Gyre" w:eastAsia="Times New Roman" w:cs="Times New Roman"/>
          <w:color w:val="767171" w:themeColor="background2" w:themeShade="80"/>
          <w:sz w:val="24"/>
          <w:szCs w:val="24"/>
          <w:lang w:eastAsia="cs-CZ"/>
        </w:rPr>
      </w:pPr>
      <w:r>
        <w:rPr>
          <w:rFonts w:eastAsia="Times New Roman" w:cs="Times New Roman" w:ascii="DejaVu Math TeX Gyre" w:hAnsi="DejaVu Math TeX Gyre"/>
          <w:color w:val="767171" w:themeColor="background2" w:themeShade="80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cs="Times New Roman"/>
          <w:color w:val="444440"/>
          <w:sz w:val="28"/>
          <w:szCs w:val="28"/>
        </w:rPr>
      </w:pPr>
      <w:r>
        <w:rPr>
          <w:rFonts w:cs="Times New Roman" w:ascii="Times New Roman" w:hAnsi="Times New Roman"/>
          <w:color w:val="44444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DejaVu Math TeX Gyre" w:hAnsi="DejaVu Math TeX Gyre" w:eastAsia="Times New Roman" w:cs="Times New Roman"/>
          <w:b/>
          <w:b/>
          <w:bCs/>
          <w:color w:val="538135" w:themeColor="accent6" w:themeShade="bf"/>
          <w:kern w:val="2"/>
          <w:sz w:val="28"/>
          <w:szCs w:val="28"/>
          <w:lang w:eastAsia="cs-CZ"/>
        </w:rPr>
      </w:pPr>
      <w:r>
        <w:rPr>
          <w:rFonts w:eastAsia="Times New Roman" w:cs="Times New Roman" w:ascii="DejaVu Math TeX Gyre" w:hAnsi="DejaVu Math TeX Gyre"/>
          <w:b/>
          <w:bCs/>
          <w:color w:val="538135" w:themeColor="accent6" w:themeShade="bf"/>
          <w:kern w:val="2"/>
          <w:sz w:val="28"/>
          <w:szCs w:val="28"/>
          <w:lang w:eastAsia="cs-CZ"/>
        </w:rPr>
        <w:t>KONTAKTY NA KRIZOVÉ LINKY, ON-LINE KONZULTACE A PODPORA V AKTUÁLNÍ SITUACI</w:t>
      </w:r>
    </w:p>
    <w:p>
      <w:pPr>
        <w:pStyle w:val="Normal"/>
        <w:spacing w:before="0" w:after="0"/>
        <w:rPr>
          <w:rFonts w:ascii="DejaVu Math TeX Gyre" w:hAnsi="DejaVu Math TeX Gyre"/>
          <w:b/>
          <w:b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DejaVu Math TeX Gyre" w:hAnsi="DejaVu Math TeX Gyre"/>
          <w:b/>
          <w:b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Linky a chaty pro žáky</w:t>
      </w:r>
    </w:p>
    <w:p>
      <w:pPr>
        <w:pStyle w:val="Normal"/>
        <w:spacing w:before="0" w:after="0"/>
        <w:rPr>
          <w:rFonts w:ascii="DejaVu Math TeX Gyre" w:hAnsi="DejaVu Math TeX Gyre"/>
          <w:b/>
          <w:b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Linka bezpečí – 116 111</w:t>
      </w:r>
    </w:p>
    <w:p>
      <w:pPr>
        <w:pStyle w:val="Normal"/>
        <w:spacing w:before="0" w:after="0"/>
        <w:rPr/>
      </w:pPr>
      <w:hyperlink r:id="rId9">
        <w:r>
          <w:rPr>
            <w:rStyle w:val="Internetovodkaz"/>
            <w:rFonts w:ascii="DejaVu Math TeX Gyre" w:hAnsi="DejaVu Math TeX Gyre"/>
            <w:color w:val="538135" w:themeColor="accent6" w:themeShade="bf"/>
            <w:sz w:val="24"/>
            <w:szCs w:val="24"/>
            <w:lang w:eastAsia="cs-CZ"/>
          </w:rPr>
          <w:t>https://www.linkabezpeci.cz/sluzby/chatuj-s-nami/</w:t>
        </w:r>
      </w:hyperlink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Dětské krizové centrum – 241 484 149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nebo 777 715 215; 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elinka.internetporadna.cz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DejaVu Math TeX Gyre" w:hAnsi="DejaVu Math TeX Gyre"/>
          <w:b/>
          <w:b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Linky a chaty pro rodiče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Linka Života za zdí - tel. 774 334 539 (17-23h, peer pomoc během nouzového stavu)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Pražská linka důvěry 222 580 697 - nonstop telefonická krizová pomoc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Podpora rodičů i žáků samotných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Linka pro rodinu a školu – 116 000; 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https://linkaztracenedite.cz/chat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Rodičovská linka – 606 021 021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https://www.rodicovskalinka.cz/sluzby/chatuj-s-nami/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DejaVu Math TeX Gyre" w:hAnsi="DejaVu Math TeX Gyre"/>
          <w:b/>
          <w:b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Linka pro seniory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800 157 157 Senior telefon Života 90, nonstop (i pro pomoc v aktuální situaci, např. možné volat o pomoc s nákupy, vyzvednutím léků atp.)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800 160 166 Praha – senior linka (zajistí nákupy, léky, venčení psů pro seniory v Praze)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Online krizové konzultace a podpora zdarma v aktuální situaci:</w:t>
      </w:r>
    </w:p>
    <w:p>
      <w:pPr>
        <w:pStyle w:val="Normal"/>
        <w:spacing w:before="0" w:after="0"/>
        <w:rPr/>
      </w:pPr>
      <w:hyperlink r:id="rId10">
        <w:r>
          <w:rPr>
            <w:rStyle w:val="Internetovodkaz"/>
            <w:rFonts w:ascii="DejaVu Math TeX Gyre" w:hAnsi="DejaVu Math TeX Gyre"/>
            <w:color w:val="538135" w:themeColor="accent6" w:themeShade="bf"/>
            <w:sz w:val="24"/>
            <w:szCs w:val="24"/>
            <w:lang w:eastAsia="cs-CZ"/>
          </w:rPr>
          <w:t>https://www.delamcomuzu.cz/</w:t>
        </w:r>
      </w:hyperlink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 - psychologické online konzultace zdarma 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http://terap.io/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https://nadoslech.cz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 - Podpůrné video-setkávání v době koronaviru</w:t>
      </w:r>
    </w:p>
    <w:p>
      <w:pPr>
        <w:pStyle w:val="Normal"/>
        <w:spacing w:before="0"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DejaVu Math TeX Gyre" w:hAnsi="DejaVu Math TeX Gyre"/>
          <w:b/>
          <w:b/>
          <w:color w:val="538135" w:themeColor="accent6" w:themeShade="bf"/>
          <w:sz w:val="24"/>
          <w:szCs w:val="24"/>
          <w:lang w:eastAsia="cs-CZ"/>
        </w:rPr>
      </w:pP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Další kontakty můžete najít na našich stránkách:</w:t>
      </w:r>
    </w:p>
    <w:p>
      <w:pPr>
        <w:pStyle w:val="Normal"/>
        <w:spacing w:before="0" w:after="0"/>
        <w:rPr/>
      </w:pPr>
      <w:r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https://prevenceppp5.webnode.cz/news/krizova-intervence/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DejaVu Math TeX Gyr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JosefinSlab-Regular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44151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cd7084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e696b"/>
    <w:rPr/>
  </w:style>
  <w:style w:type="character" w:styleId="ZpatChar" w:customStyle="1">
    <w:name w:val="Zápatí Char"/>
    <w:basedOn w:val="DefaultParagraphFont"/>
    <w:link w:val="Zpat"/>
    <w:uiPriority w:val="99"/>
    <w:qFormat/>
    <w:rsid w:val="008e696b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41512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Strong">
    <w:name w:val="Strong"/>
    <w:basedOn w:val="DefaultParagraphFont"/>
    <w:uiPriority w:val="22"/>
    <w:qFormat/>
    <w:rsid w:val="00441512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441512"/>
    <w:rPr>
      <w:color w:val="0000FF"/>
      <w:u w:val="single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cd708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ListLabel1">
    <w:name w:val="ListLabel 1"/>
    <w:qFormat/>
    <w:rPr>
      <w:color w:val="385623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DejaVu Math TeX Gyre" w:hAnsi="DejaVu Math TeX Gyre" w:eastAsia="Times New Roman" w:cs="Times New Roman"/>
      <w:color w:val="8496B0" w:themeColor="text2" w:themeTint="99"/>
      <w:lang w:eastAsia="cs-CZ"/>
    </w:rPr>
  </w:style>
  <w:style w:type="character" w:styleId="ListLabel10">
    <w:name w:val="ListLabel 10"/>
    <w:qFormat/>
    <w:rPr>
      <w:rFonts w:ascii="DejaVu Math TeX Gyre" w:hAnsi="DejaVu Math TeX Gyre" w:eastAsia="Times New Roman" w:cs="Times New Roman"/>
      <w:color w:val="8496B0" w:themeColor="text2" w:themeTint="99"/>
      <w:sz w:val="24"/>
      <w:szCs w:val="20"/>
      <w:lang w:eastAsia="cs-CZ"/>
    </w:rPr>
  </w:style>
  <w:style w:type="character" w:styleId="ListLabel11">
    <w:name w:val="ListLabel 11"/>
    <w:qFormat/>
    <w:rPr>
      <w:rFonts w:ascii="DejaVu Math TeX Gyre" w:hAnsi="DejaVu Math TeX Gyre" w:eastAsia="Times New Roman" w:cs="Times New Roman"/>
      <w:color w:val="767171" w:themeColor="background2" w:themeShade="80"/>
      <w:sz w:val="24"/>
      <w:szCs w:val="24"/>
      <w:u w:val="single"/>
      <w:lang w:eastAsia="cs-CZ"/>
    </w:rPr>
  </w:style>
  <w:style w:type="character" w:styleId="ListLabel12">
    <w:name w:val="ListLabel 12"/>
    <w:qFormat/>
    <w:rPr>
      <w:rFonts w:ascii="DejaVu Math TeX Gyre" w:hAnsi="DejaVu Math TeX Gyre" w:cs="Times New Roman"/>
      <w:color w:val="538135" w:themeColor="accent6" w:themeShade="bf"/>
      <w:sz w:val="24"/>
      <w:szCs w:val="24"/>
    </w:rPr>
  </w:style>
  <w:style w:type="character" w:styleId="ListLabel13">
    <w:name w:val="ListLabel 13"/>
    <w:qFormat/>
    <w:rPr>
      <w:rFonts w:ascii="DejaVu Math TeX Gyre" w:hAnsi="DejaVu Math TeX Gyre"/>
      <w:color w:val="538135" w:themeColor="accent6" w:themeShade="bf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8e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e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4415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160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mvcr.cz/clanek/koronavirus-covid-19-doporuceni-ve-vztahu-k-detem.aspx" TargetMode="External"/><Relationship Id="rId4" Type="http://schemas.openxmlformats.org/officeDocument/2006/relationships/hyperlink" Target="https://www.mvcr.cz/clanek/jak-mluvit-s-detmi-o-koronaviru-nabizime-reseni.aspx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prevenceppp5.webnode.cz/news/typy-pro-vyuku/?utm_source=copy&amp;utm_medium=paste&amp;utm_campaign=copypaste&amp;utm_content=https%3A%2F%2Fprevenceppp5.webnode.cz%2Fnews%2Ftypy-pro-vyuku%2F" TargetMode="External"/><Relationship Id="rId7" Type="http://schemas.openxmlformats.org/officeDocument/2006/relationships/hyperlink" Target="https://prevenceppp5.webnode.cz/news/typy-pro-vyuku/?utm_source=copy&amp;utm_medium=paste&amp;utm_campaign=copypaste&amp;utm_content=https%3A%2F%2Fprevenceppp5.webnode.cz%2Fnews%2Ftypy-pro-vyuku%2F" TargetMode="External"/><Relationship Id="rId8" Type="http://schemas.openxmlformats.org/officeDocument/2006/relationships/hyperlink" Target="http://www.spoludoma.cz/" TargetMode="External"/><Relationship Id="rId9" Type="http://schemas.openxmlformats.org/officeDocument/2006/relationships/hyperlink" Target="https://www.linkabezpeci.cz/sluzby/chatuj-s-nami/" TargetMode="External"/><Relationship Id="rId10" Type="http://schemas.openxmlformats.org/officeDocument/2006/relationships/hyperlink" Target="https://www.delamcomuzu.cz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61BC-3DF5-46AE-8DD0-B8557F2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LibreOffice/6.2.0.3$Windows_X86_64 LibreOffice_project/98c6a8a1c6c7b144ce3cc729e34964b47ce25d62</Application>
  <Pages>6</Pages>
  <Words>755</Words>
  <Characters>4637</Characters>
  <CharactersWithSpaces>5326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2020-03-24T15:18:00Z</dcterms:created>
  <dc:creator>Pavla Kosinku</dc:creator>
  <dc:description/>
  <dc:language>cs-CZ</dc:language>
  <cp:lastModifiedBy>Lucie Matějovská</cp:lastModifiedBy>
  <cp:lastPrinted>2020-03-26T12:26:00Z</cp:lastPrinted>
  <dcterms:modified xsi:type="dcterms:W3CDTF">2020-03-26T12:27:00Z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